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7C26D">
      <w:pPr>
        <w:rPr>
          <w:rFonts w:ascii="仿宋" w:hAnsi="仿宋" w:eastAsia="仿宋"/>
          <w:color w:val="000000" w:themeColor="text1"/>
          <w:sz w:val="84"/>
          <w:szCs w:val="84"/>
          <w:u w:val="single"/>
          <w14:textFill>
            <w14:solidFill>
              <w14:schemeClr w14:val="tx1"/>
            </w14:solidFill>
          </w14:textFill>
        </w:rPr>
      </w:pPr>
    </w:p>
    <w:p w14:paraId="02FBC2ED">
      <w:pPr>
        <w:rPr>
          <w:rFonts w:ascii="仿宋" w:hAnsi="仿宋" w:eastAsia="仿宋"/>
          <w:color w:val="000000" w:themeColor="text1"/>
          <w:sz w:val="84"/>
          <w:szCs w:val="84"/>
          <w:u w:val="single"/>
          <w14:textFill>
            <w14:solidFill>
              <w14:schemeClr w14:val="tx1"/>
            </w14:solidFill>
          </w14:textFill>
        </w:rPr>
      </w:pPr>
    </w:p>
    <w:p w14:paraId="38743092">
      <w:pPr>
        <w:rPr>
          <w:rFonts w:ascii="仿宋" w:hAnsi="仿宋" w:eastAsia="仿宋"/>
          <w:color w:val="000000" w:themeColor="text1"/>
          <w:sz w:val="84"/>
          <w:szCs w:val="84"/>
          <w:u w:val="single"/>
          <w14:textFill>
            <w14:solidFill>
              <w14:schemeClr w14:val="tx1"/>
            </w14:solidFill>
          </w14:textFill>
        </w:rPr>
      </w:pPr>
    </w:p>
    <w:p w14:paraId="6EE5EA27">
      <w:pPr>
        <w:rPr>
          <w:rFonts w:ascii="仿宋" w:hAnsi="仿宋" w:eastAsia="仿宋"/>
          <w:color w:val="000000" w:themeColor="text1"/>
          <w:sz w:val="84"/>
          <w:szCs w:val="84"/>
          <w:u w:val="single"/>
          <w14:textFill>
            <w14:solidFill>
              <w14:schemeClr w14:val="tx1"/>
            </w14:solidFill>
          </w14:textFill>
        </w:rPr>
      </w:pPr>
    </w:p>
    <w:p w14:paraId="084370E4">
      <w:pPr>
        <w:rPr>
          <w:rFonts w:asciiTheme="majorEastAsia" w:hAnsiTheme="majorEastAsia" w:eastAsiaTheme="majorEastAsia"/>
          <w:b/>
          <w:color w:val="000000" w:themeColor="text1"/>
          <w:sz w:val="52"/>
          <w:szCs w:val="52"/>
          <w14:textFill>
            <w14:solidFill>
              <w14:schemeClr w14:val="tx1"/>
            </w14:solidFill>
          </w14:textFill>
        </w:rPr>
      </w:pPr>
      <w:r>
        <w:rPr>
          <w:rFonts w:hint="eastAsia" w:asciiTheme="majorEastAsia" w:hAnsiTheme="majorEastAsia" w:eastAsiaTheme="majorEastAsia"/>
          <w:b/>
          <w:color w:val="000000" w:themeColor="text1"/>
          <w:sz w:val="52"/>
          <w:szCs w:val="52"/>
          <w14:textFill>
            <w14:solidFill>
              <w14:schemeClr w14:val="tx1"/>
            </w14:solidFill>
          </w14:textFill>
        </w:rPr>
        <w:t>202</w:t>
      </w:r>
      <w:r>
        <w:rPr>
          <w:rFonts w:hint="eastAsia" w:asciiTheme="majorEastAsia" w:hAnsiTheme="majorEastAsia" w:eastAsiaTheme="majorEastAsia"/>
          <w:b/>
          <w:color w:val="000000" w:themeColor="text1"/>
          <w:sz w:val="52"/>
          <w:szCs w:val="52"/>
          <w:lang w:val="en-US" w:eastAsia="zh-CN"/>
          <w14:textFill>
            <w14:solidFill>
              <w14:schemeClr w14:val="tx1"/>
            </w14:solidFill>
          </w14:textFill>
        </w:rPr>
        <w:t>5</w:t>
      </w:r>
      <w:r>
        <w:rPr>
          <w:rFonts w:hint="eastAsia" w:asciiTheme="majorEastAsia" w:hAnsiTheme="majorEastAsia" w:eastAsiaTheme="majorEastAsia"/>
          <w:b/>
          <w:color w:val="000000" w:themeColor="text1"/>
          <w:sz w:val="52"/>
          <w:szCs w:val="52"/>
          <w14:textFill>
            <w14:solidFill>
              <w14:schemeClr w14:val="tx1"/>
            </w14:solidFill>
          </w14:textFill>
        </w:rPr>
        <w:t>年海南师范大学</w:t>
      </w:r>
      <w:r>
        <w:rPr>
          <w:rFonts w:hint="eastAsia" w:asciiTheme="majorEastAsia" w:hAnsiTheme="majorEastAsia" w:eastAsiaTheme="majorEastAsia"/>
          <w:b/>
          <w:color w:val="000000" w:themeColor="text1"/>
          <w:sz w:val="52"/>
          <w:szCs w:val="52"/>
          <w:lang w:val="en-US" w:eastAsia="zh-CN"/>
          <w14:textFill>
            <w14:solidFill>
              <w14:schemeClr w14:val="tx1"/>
            </w14:solidFill>
          </w14:textFill>
        </w:rPr>
        <w:t>附属小学</w:t>
      </w:r>
      <w:r>
        <w:rPr>
          <w:rFonts w:hint="eastAsia" w:asciiTheme="majorEastAsia" w:hAnsiTheme="majorEastAsia" w:eastAsiaTheme="majorEastAsia"/>
          <w:b/>
          <w:color w:val="000000" w:themeColor="text1"/>
          <w:sz w:val="52"/>
          <w:szCs w:val="52"/>
          <w14:textFill>
            <w14:solidFill>
              <w14:schemeClr w14:val="tx1"/>
            </w14:solidFill>
          </w14:textFill>
        </w:rPr>
        <w:t>预算</w:t>
      </w:r>
    </w:p>
    <w:p w14:paraId="2A219A37">
      <w:pPr>
        <w:ind w:firstLine="1680"/>
        <w:jc w:val="center"/>
        <w:rPr>
          <w:rFonts w:ascii="仿宋" w:hAnsi="仿宋" w:eastAsia="仿宋"/>
          <w:b/>
          <w:color w:val="000000" w:themeColor="text1"/>
          <w:sz w:val="84"/>
          <w:szCs w:val="84"/>
          <w14:textFill>
            <w14:solidFill>
              <w14:schemeClr w14:val="tx1"/>
            </w14:solidFill>
          </w14:textFill>
        </w:rPr>
      </w:pPr>
    </w:p>
    <w:p w14:paraId="0D1A77A5">
      <w:pPr>
        <w:ind w:firstLine="1680"/>
        <w:jc w:val="center"/>
        <w:rPr>
          <w:rFonts w:ascii="仿宋" w:hAnsi="仿宋" w:eastAsia="仿宋"/>
          <w:color w:val="000000" w:themeColor="text1"/>
          <w:sz w:val="84"/>
          <w:szCs w:val="84"/>
          <w14:textFill>
            <w14:solidFill>
              <w14:schemeClr w14:val="tx1"/>
            </w14:solidFill>
          </w14:textFill>
        </w:rPr>
      </w:pPr>
    </w:p>
    <w:p w14:paraId="7FEA638A">
      <w:pPr>
        <w:ind w:firstLine="1680"/>
        <w:jc w:val="center"/>
        <w:rPr>
          <w:rFonts w:ascii="仿宋" w:hAnsi="仿宋" w:eastAsia="仿宋"/>
          <w:color w:val="000000" w:themeColor="text1"/>
          <w:sz w:val="84"/>
          <w:szCs w:val="84"/>
          <w14:textFill>
            <w14:solidFill>
              <w14:schemeClr w14:val="tx1"/>
            </w14:solidFill>
          </w14:textFill>
        </w:rPr>
      </w:pPr>
    </w:p>
    <w:p w14:paraId="46DB07E1">
      <w:pPr>
        <w:ind w:firstLine="1680"/>
        <w:jc w:val="center"/>
        <w:rPr>
          <w:rFonts w:ascii="仿宋" w:hAnsi="仿宋" w:eastAsia="仿宋"/>
          <w:color w:val="000000" w:themeColor="text1"/>
          <w:sz w:val="84"/>
          <w:szCs w:val="84"/>
          <w14:textFill>
            <w14:solidFill>
              <w14:schemeClr w14:val="tx1"/>
            </w14:solidFill>
          </w14:textFill>
        </w:rPr>
      </w:pPr>
    </w:p>
    <w:p w14:paraId="59143191">
      <w:pPr>
        <w:ind w:firstLine="1680"/>
        <w:jc w:val="center"/>
        <w:rPr>
          <w:rFonts w:ascii="仿宋" w:hAnsi="仿宋" w:eastAsia="仿宋"/>
          <w:color w:val="000000" w:themeColor="text1"/>
          <w:sz w:val="84"/>
          <w:szCs w:val="84"/>
          <w14:textFill>
            <w14:solidFill>
              <w14:schemeClr w14:val="tx1"/>
            </w14:solidFill>
          </w14:textFill>
        </w:rPr>
      </w:pPr>
    </w:p>
    <w:p w14:paraId="428B1F5F">
      <w:pPr>
        <w:spacing w:line="560" w:lineRule="exact"/>
        <w:jc w:val="center"/>
        <w:rPr>
          <w:rFonts w:ascii="仿宋" w:hAnsi="仿宋" w:eastAsia="仿宋"/>
          <w:color w:val="000000" w:themeColor="text1"/>
          <w:sz w:val="84"/>
          <w:szCs w:val="84"/>
          <w14:textFill>
            <w14:solidFill>
              <w14:schemeClr w14:val="tx1"/>
            </w14:solidFill>
          </w14:textFill>
        </w:rPr>
      </w:pPr>
    </w:p>
    <w:p w14:paraId="7C792B79">
      <w:pPr>
        <w:spacing w:line="560" w:lineRule="exact"/>
        <w:jc w:val="center"/>
        <w:rPr>
          <w:rFonts w:ascii="仿宋" w:hAnsi="仿宋" w:eastAsia="仿宋"/>
          <w:color w:val="000000" w:themeColor="text1"/>
          <w:sz w:val="52"/>
          <w:szCs w:val="52"/>
          <w14:textFill>
            <w14:solidFill>
              <w14:schemeClr w14:val="tx1"/>
            </w14:solidFill>
          </w14:textFill>
        </w:rPr>
      </w:pPr>
      <w:r>
        <w:rPr>
          <w:rFonts w:hint="eastAsia" w:ascii="仿宋" w:hAnsi="仿宋" w:eastAsia="仿宋"/>
          <w:color w:val="000000" w:themeColor="text1"/>
          <w:sz w:val="52"/>
          <w:szCs w:val="52"/>
          <w14:textFill>
            <w14:solidFill>
              <w14:schemeClr w14:val="tx1"/>
            </w14:solidFill>
          </w14:textFill>
        </w:rPr>
        <w:t>目    录</w:t>
      </w:r>
    </w:p>
    <w:p w14:paraId="5766F4BA">
      <w:pPr>
        <w:spacing w:line="560" w:lineRule="exact"/>
        <w:jc w:val="center"/>
        <w:rPr>
          <w:rFonts w:ascii="仿宋" w:hAnsi="仿宋" w:eastAsia="仿宋"/>
          <w:color w:val="000000" w:themeColor="text1"/>
          <w:sz w:val="52"/>
          <w:szCs w:val="52"/>
          <w14:textFill>
            <w14:solidFill>
              <w14:schemeClr w14:val="tx1"/>
            </w14:solidFill>
          </w14:textFill>
        </w:rPr>
      </w:pPr>
    </w:p>
    <w:p w14:paraId="4D525A9A">
      <w:pPr>
        <w:spacing w:line="560" w:lineRule="exact"/>
        <w:jc w:val="center"/>
        <w:rPr>
          <w:rFonts w:ascii="仿宋" w:hAnsi="仿宋" w:eastAsia="仿宋"/>
          <w:color w:val="000000" w:themeColor="text1"/>
          <w:sz w:val="52"/>
          <w:szCs w:val="52"/>
          <w14:textFill>
            <w14:solidFill>
              <w14:schemeClr w14:val="tx1"/>
            </w14:solidFill>
          </w14:textFill>
        </w:rPr>
      </w:pPr>
    </w:p>
    <w:p w14:paraId="3C98145D">
      <w:pPr>
        <w:pStyle w:val="12"/>
        <w:numPr>
          <w:ilvl w:val="0"/>
          <w:numId w:val="1"/>
        </w:numPr>
        <w:ind w:hanging="2030" w:firstLineChars="0"/>
        <w:jc w:val="lef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hint="eastAsia" w:ascii="黑体" w:hAnsi="黑体" w:eastAsia="黑体"/>
          <w:b/>
          <w:color w:val="000000" w:themeColor="text1"/>
          <w:sz w:val="32"/>
          <w:szCs w:val="32"/>
          <w14:textFill>
            <w14:solidFill>
              <w14:schemeClr w14:val="tx1"/>
            </w14:solidFill>
          </w14:textFill>
        </w:rPr>
        <w:t>概况</w:t>
      </w:r>
    </w:p>
    <w:p w14:paraId="59E11ABE">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主要职能</w:t>
      </w:r>
    </w:p>
    <w:p w14:paraId="7EB71163">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部门预算单位构成</w:t>
      </w:r>
    </w:p>
    <w:p w14:paraId="4258671E">
      <w:pPr>
        <w:pStyle w:val="12"/>
        <w:numPr>
          <w:ilvl w:val="0"/>
          <w:numId w:val="1"/>
        </w:numPr>
        <w:ind w:hanging="2030" w:firstLineChars="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年预算表</w:t>
      </w:r>
    </w:p>
    <w:p w14:paraId="4134AC97">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财政拨款收支总表</w:t>
      </w:r>
    </w:p>
    <w:p w14:paraId="1F2091A4">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一般公共预算支出表</w:t>
      </w:r>
    </w:p>
    <w:p w14:paraId="55242162">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一般公共预算基本支出表</w:t>
      </w:r>
    </w:p>
    <w:p w14:paraId="1F959D7D">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一般公共预算“三公”经费支出表</w:t>
      </w:r>
    </w:p>
    <w:p w14:paraId="725ED1B2">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政府性基金预算支出表。</w:t>
      </w:r>
    </w:p>
    <w:p w14:paraId="282C05E7">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政府性基金预算“三公”经费支出表</w:t>
      </w:r>
    </w:p>
    <w:p w14:paraId="243B929F">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部门（单位）收支总表</w:t>
      </w:r>
    </w:p>
    <w:p w14:paraId="1645CAC0">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部门（单位）收入总表</w:t>
      </w:r>
    </w:p>
    <w:p w14:paraId="3DBF5B19">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单位）支出总表</w:t>
      </w:r>
    </w:p>
    <w:p w14:paraId="0A272FBB">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项目支出绩效信息</w:t>
      </w:r>
      <w:r>
        <w:rPr>
          <w:rFonts w:hint="eastAsia" w:ascii="仿宋" w:hAnsi="仿宋" w:eastAsia="仿宋" w:cs="仿宋_GB2312"/>
          <w:color w:val="000000" w:themeColor="text1"/>
          <w:sz w:val="32"/>
          <w:szCs w:val="32"/>
          <w14:textFill>
            <w14:solidFill>
              <w14:schemeClr w14:val="tx1"/>
            </w14:solidFill>
          </w14:textFill>
        </w:rPr>
        <w:t>表</w:t>
      </w:r>
    </w:p>
    <w:p w14:paraId="5E5603D1">
      <w:pPr>
        <w:pStyle w:val="12"/>
        <w:numPr>
          <w:ilvl w:val="0"/>
          <w:numId w:val="1"/>
        </w:numPr>
        <w:ind w:hanging="2030" w:firstLineChars="0"/>
        <w:jc w:val="left"/>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年预算情况说明</w:t>
      </w:r>
    </w:p>
    <w:p w14:paraId="2E614245">
      <w:pPr>
        <w:pStyle w:val="12"/>
        <w:numPr>
          <w:ilvl w:val="0"/>
          <w:numId w:val="1"/>
        </w:numPr>
        <w:ind w:hanging="2030" w:firstLineChars="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名词解释</w:t>
      </w:r>
    </w:p>
    <w:p w14:paraId="417A0BE7">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14:paraId="5846E43B">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14:paraId="0471D4AD">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14:paraId="61B95660">
      <w:pPr>
        <w:pStyle w:val="12"/>
        <w:ind w:firstLine="0" w:firstLineChars="0"/>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第一部分海南师范大学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概况</w:t>
      </w:r>
    </w:p>
    <w:p w14:paraId="73E8980E">
      <w:pPr>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按照预算管理有关规定，目前我校预算编制实行全口径预算制度，我校机构设置有：机构</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w:t>
      </w:r>
    </w:p>
    <w:p w14:paraId="670B4124">
      <w:pPr>
        <w:jc w:val="left"/>
        <w:rPr>
          <w:rFonts w:hint="eastAsia" w:ascii="仿宋" w:hAnsi="仿宋" w:eastAsia="仿宋" w:cs="仿宋"/>
          <w:b/>
          <w:color w:val="FF0000"/>
          <w:sz w:val="32"/>
          <w:szCs w:val="32"/>
        </w:rPr>
      </w:pPr>
    </w:p>
    <w:p w14:paraId="4A699778">
      <w:pPr>
        <w:pStyle w:val="5"/>
        <w:widowControl/>
        <w:jc w:val="both"/>
        <w:rPr>
          <w:rStyle w:val="8"/>
          <w:rFonts w:hint="eastAsia" w:ascii="仿宋" w:hAnsi="仿宋" w:eastAsia="仿宋" w:cs="仿宋"/>
          <w:b w:val="0"/>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一、主要职能</w:t>
      </w:r>
      <w:r>
        <w:rPr>
          <w:rStyle w:val="8"/>
          <w:rFonts w:hint="eastAsia" w:ascii="仿宋" w:hAnsi="仿宋" w:eastAsia="仿宋" w:cs="仿宋"/>
          <w:b w:val="0"/>
          <w:color w:val="000000" w:themeColor="text1"/>
          <w:sz w:val="32"/>
          <w:szCs w:val="32"/>
          <w14:textFill>
            <w14:solidFill>
              <w14:schemeClr w14:val="tx1"/>
            </w14:solidFill>
          </w14:textFill>
        </w:rPr>
        <w:t>   </w:t>
      </w:r>
    </w:p>
    <w:p w14:paraId="04D45096">
      <w:pPr>
        <w:spacing w:line="560" w:lineRule="atLeas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14:textFill>
            <w14:solidFill>
              <w14:schemeClr w14:val="tx1"/>
            </w14:solidFill>
          </w14:textFill>
        </w:rPr>
        <w:t>）贯彻执行党、国家和省市有关教育工作的方针政策法律、法规和规章;组织制订并实施学校发展规划和学年度工作计划。小学义务教育、素质教育依法实施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基础教育发展</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学校教育管理</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学校教职员工管理</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教师专业技术职务评聘上报学校安全管。</w:t>
      </w:r>
    </w:p>
    <w:p w14:paraId="2F4A5B29">
      <w:pPr>
        <w:spacing w:line="560" w:lineRule="atLeas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在海南师范大学党委、校领导的关心和支持下，学校坚定不移地贯彻执行党的教育方针，深入实施素质教育，扎实推进课程改革</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学校的办学宗旨是：以“三个面向”为指针，以提高国民素质为根本宗旨，以培养学生的创新精神和实践能力为重点，办“规范＋特色”学校，育“全面＋特长”人才。办学目标是：以人为本，科研兴校，争创一流的教育教学质量，办人民满意的教育，办家长满意的优质学校。</w:t>
      </w:r>
    </w:p>
    <w:p w14:paraId="4CBB8FAA">
      <w:pPr>
        <w:spacing w:line="560" w:lineRule="atLeast"/>
        <w:ind w:firstLine="640" w:firstLineChars="200"/>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学校努力建设一支师德高尚、教艺精湛的研究型教师队伍。注重校本研训，鼓励教师走教学科研相结合的路子，并根据教师各自的个性特点和能力特长，创造各种机会，发挥其所长，促进其成长。</w:t>
      </w:r>
    </w:p>
    <w:p w14:paraId="60FE8B2B">
      <w:pP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 部门预算单位构成</w:t>
      </w:r>
    </w:p>
    <w:p w14:paraId="78A335B1">
      <w:pPr>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我校部门预算编制范围的部门包括：</w:t>
      </w:r>
    </w:p>
    <w:p w14:paraId="629B5514">
      <w:pPr>
        <w:spacing w:line="600" w:lineRule="exact"/>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机构13</w:t>
      </w:r>
      <w:r>
        <w:rPr>
          <w:rFonts w:hint="eastAsia" w:ascii="仿宋" w:hAnsi="仿宋" w:eastAsia="仿宋" w:cs="仿宋"/>
          <w:color w:val="000000" w:themeColor="text1"/>
          <w:sz w:val="32"/>
          <w:szCs w:val="32"/>
          <w14:textFill>
            <w14:solidFill>
              <w14:schemeClr w14:val="tx1"/>
            </w14:solidFill>
          </w14:textFill>
        </w:rPr>
        <w:t>个：党</w:t>
      </w:r>
      <w:r>
        <w:rPr>
          <w:rFonts w:hint="eastAsia" w:ascii="仿宋" w:hAnsi="仿宋" w:eastAsia="仿宋" w:cs="仿宋"/>
          <w:color w:val="000000" w:themeColor="text1"/>
          <w:sz w:val="32"/>
          <w:szCs w:val="32"/>
          <w:lang w:val="en-US" w:eastAsia="zh-CN"/>
          <w14:textFill>
            <w14:solidFill>
              <w14:schemeClr w14:val="tx1"/>
            </w14:solidFill>
          </w14:textFill>
        </w:rPr>
        <w:t>支部、校长室、副校长室、党政办、综治办、教导处、教研室、总务处、体卫艺处、德育处、大队部、团支部、工会。</w:t>
      </w:r>
    </w:p>
    <w:p w14:paraId="3910CAE0">
      <w:pPr>
        <w:ind w:firstLine="640" w:firstLineChars="200"/>
        <w:jc w:val="center"/>
        <w:rPr>
          <w:rFonts w:hint="eastAsia" w:ascii="仿宋" w:hAnsi="仿宋" w:eastAsia="仿宋" w:cs="仿宋"/>
          <w:color w:val="000000" w:themeColor="text1"/>
          <w:sz w:val="32"/>
          <w:szCs w:val="32"/>
          <w14:textFill>
            <w14:solidFill>
              <w14:schemeClr w14:val="tx1"/>
            </w14:solidFill>
          </w14:textFill>
        </w:rPr>
      </w:pPr>
    </w:p>
    <w:p w14:paraId="75AD038B">
      <w:pPr>
        <w:ind w:firstLine="643" w:firstLineChars="20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第二部分 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年预算表</w:t>
      </w:r>
    </w:p>
    <w:p w14:paraId="061EC5AB">
      <w:pPr>
        <w:jc w:val="center"/>
        <w:rPr>
          <w:rFonts w:hint="eastAsia" w:ascii="仿宋" w:hAnsi="仿宋" w:eastAsia="仿宋" w:cs="仿宋"/>
          <w:color w:val="000000" w:themeColor="text1"/>
          <w:sz w:val="32"/>
          <w:szCs w:val="32"/>
          <w14:textFill>
            <w14:solidFill>
              <w14:schemeClr w14:val="tx1"/>
            </w14:solidFill>
          </w14:textFill>
        </w:rPr>
      </w:pPr>
    </w:p>
    <w:p w14:paraId="684641A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此部分内容即为部门或单位预算公开表</w:t>
      </w:r>
      <w:r>
        <w:rPr>
          <w:rFonts w:hint="eastAsia" w:ascii="仿宋" w:hAnsi="仿宋" w:eastAsia="仿宋" w:cs="仿宋"/>
          <w:color w:val="000000" w:themeColor="text1"/>
          <w:sz w:val="32"/>
          <w:szCs w:val="32"/>
          <w14:textFill>
            <w14:solidFill>
              <w14:schemeClr w14:val="tx1"/>
            </w14:solidFill>
          </w14:textFill>
        </w:rPr>
        <w:t>）</w:t>
      </w:r>
    </w:p>
    <w:p w14:paraId="15375D78">
      <w:pPr>
        <w:ind w:firstLine="640" w:firstLineChars="200"/>
        <w:rPr>
          <w:rFonts w:hint="eastAsia" w:ascii="仿宋" w:hAnsi="仿宋" w:eastAsia="仿宋" w:cs="仿宋"/>
          <w:color w:val="000000" w:themeColor="text1"/>
          <w:sz w:val="32"/>
          <w:szCs w:val="32"/>
          <w14:textFill>
            <w14:solidFill>
              <w14:schemeClr w14:val="tx1"/>
            </w14:solidFill>
          </w14:textFill>
        </w:rPr>
      </w:pPr>
    </w:p>
    <w:p w14:paraId="7E49B950">
      <w:pPr>
        <w:ind w:firstLine="643" w:firstLineChars="20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第三部分海南师范大学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年预算情况说明</w:t>
      </w:r>
    </w:p>
    <w:p w14:paraId="6AB1F9D4">
      <w:pPr>
        <w:rPr>
          <w:rFonts w:hint="eastAsia" w:ascii="仿宋" w:hAnsi="仿宋" w:eastAsia="仿宋" w:cs="仿宋"/>
          <w:b/>
          <w:color w:val="000000" w:themeColor="text1"/>
          <w:sz w:val="32"/>
          <w:szCs w:val="32"/>
          <w14:textFill>
            <w14:solidFill>
              <w14:schemeClr w14:val="tx1"/>
            </w14:solidFill>
          </w14:textFill>
        </w:rPr>
      </w:pPr>
    </w:p>
    <w:p w14:paraId="759349F9">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一、关于海南师范大学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年财政拨款收支预算情况的总体说明</w:t>
      </w:r>
    </w:p>
    <w:p w14:paraId="2604AD42">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年财政拨款收支总预算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教育支出增加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万元、社会保障和就业支出增加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万元、卫生健康支出增加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万元、住房保障支出增加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万元。其中，收入总计</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万元，包括一般公共预算本年收入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2504.46</w:t>
      </w:r>
      <w:r>
        <w:rPr>
          <w:rFonts w:hint="eastAsia" w:ascii="仿宋" w:hAnsi="仿宋" w:eastAsia="仿宋" w:cs="仿宋"/>
          <w:color w:val="000000" w:themeColor="text1"/>
          <w:sz w:val="32"/>
          <w:szCs w:val="32"/>
          <w:highlight w:val="none"/>
          <w14:textFill>
            <w14:solidFill>
              <w14:schemeClr w14:val="tx1"/>
            </w14:solidFill>
          </w14:textFill>
        </w:rPr>
        <w:t>万元、上年结转一般公共预算拨款</w:t>
      </w:r>
      <w:r>
        <w:rPr>
          <w:rFonts w:hint="eastAsia" w:ascii="仿宋" w:hAnsi="仿宋" w:eastAsia="仿宋" w:cs="仿宋"/>
          <w:color w:val="000000" w:themeColor="text1"/>
          <w:sz w:val="32"/>
          <w:szCs w:val="32"/>
          <w:highlight w:val="none"/>
          <w:lang w:val="en-US" w:eastAsia="zh-CN"/>
          <w14:textFill>
            <w14:solidFill>
              <w14:schemeClr w14:val="tx1"/>
            </w14:solidFill>
          </w14:textFill>
        </w:rPr>
        <w:t>0.78</w:t>
      </w:r>
      <w:r>
        <w:rPr>
          <w:rFonts w:hint="eastAsia" w:ascii="仿宋" w:hAnsi="仿宋" w:eastAsia="仿宋" w:cs="仿宋"/>
          <w:color w:val="000000" w:themeColor="text1"/>
          <w:sz w:val="32"/>
          <w:szCs w:val="32"/>
          <w:highlight w:val="none"/>
          <w14:textFill>
            <w14:solidFill>
              <w14:schemeClr w14:val="tx1"/>
            </w14:solidFill>
          </w14:textFill>
        </w:rPr>
        <w:t>万元；支出总计</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万元，包括教育支出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2126.83</w:t>
      </w:r>
      <w:r>
        <w:rPr>
          <w:rFonts w:hint="eastAsia" w:ascii="仿宋" w:hAnsi="仿宋" w:eastAsia="仿宋" w:cs="仿宋"/>
          <w:color w:val="000000" w:themeColor="text1"/>
          <w:sz w:val="32"/>
          <w:szCs w:val="32"/>
          <w:highlight w:val="none"/>
          <w14:textFill>
            <w14:solidFill>
              <w14:schemeClr w14:val="tx1"/>
            </w14:solidFill>
          </w14:textFill>
        </w:rPr>
        <w:t>万元、社会保障和就业支出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w:t>
      </w:r>
      <w:r>
        <w:rPr>
          <w:rFonts w:hint="eastAsia" w:ascii="仿宋" w:hAnsi="仿宋" w:eastAsia="仿宋" w:cs="仿宋"/>
          <w:color w:val="000000" w:themeColor="text1"/>
          <w:sz w:val="32"/>
          <w:szCs w:val="32"/>
          <w:highlight w:val="none"/>
          <w14:textFill>
            <w14:solidFill>
              <w14:schemeClr w14:val="tx1"/>
            </w14:solidFill>
          </w14:textFill>
        </w:rPr>
        <w:t>万元、卫生健康支出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万元、住房保障支出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p>
    <w:p w14:paraId="613E3B0A">
      <w:pPr>
        <w:spacing w:line="560" w:lineRule="exact"/>
        <w:ind w:firstLine="643" w:firstLineChars="20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年一般公共预算当年拨款情况说明</w:t>
      </w:r>
    </w:p>
    <w:p w14:paraId="1C8B79D9">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（一）一般公共预算当年规模变化情况</w:t>
      </w:r>
    </w:p>
    <w:p w14:paraId="64CBA9C0">
      <w:p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年一般公共预算当年拨款</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比上年预算数增加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教育支出增加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万元、社会保障和就业支出增加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万元、卫生健康支出增加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万元、住房保障支出增加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p>
    <w:p w14:paraId="30A4A5DA">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（二）一般公共预算当年拨款结构情况</w:t>
      </w:r>
    </w:p>
    <w:p w14:paraId="4E504AEB">
      <w:p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教育（类）支出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2126.83</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84.90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社会保障和就业支出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8.55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卫生健康支出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2.15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住房保障支出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4.40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7711BC2C">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（三）一般公共预算当年拨款具体使用情况</w:t>
      </w:r>
    </w:p>
    <w:p w14:paraId="18EAAF9A">
      <w:p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1.教育支出（类）普通教育（款）</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w:t>
      </w:r>
      <w:r>
        <w:rPr>
          <w:rFonts w:hint="eastAsia" w:ascii="仿宋" w:hAnsi="仿宋" w:eastAsia="仿宋" w:cs="仿宋"/>
          <w:color w:val="000000" w:themeColor="text1"/>
          <w:sz w:val="32"/>
          <w:szCs w:val="32"/>
          <w:highlight w:val="none"/>
          <w14:textFill>
            <w14:solidFill>
              <w14:schemeClr w14:val="tx1"/>
            </w14:solidFill>
          </w14:textFill>
        </w:rPr>
        <w:t>教育（项）202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2126.83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主要是基本支出增加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890.74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641A937D">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社会保障和就业支出(类)行政事业单位养老支出(款)机关事业单位基本养老保险缴费支出(项)2025年预算数为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214.30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主要是增加新入编人员。</w:t>
      </w:r>
    </w:p>
    <w:p w14:paraId="559C258E">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卫生健康支出(类)行政事业单位医疗(款)事</w:t>
      </w:r>
      <w:r>
        <w:rPr>
          <w:rFonts w:hint="eastAsia" w:ascii="仿宋" w:hAnsi="仿宋" w:eastAsia="仿宋" w:cs="仿宋"/>
          <w:color w:val="000000" w:themeColor="text1"/>
          <w:sz w:val="32"/>
          <w:szCs w:val="32"/>
          <w:highlight w:val="none"/>
          <w:lang w:eastAsia="zh-CN"/>
          <w14:textFill>
            <w14:solidFill>
              <w14:schemeClr w14:val="tx1"/>
            </w14:solidFill>
          </w14:textFill>
        </w:rPr>
        <w:t>业</w:t>
      </w:r>
      <w:r>
        <w:rPr>
          <w:rFonts w:hint="eastAsia" w:ascii="仿宋" w:hAnsi="仿宋" w:eastAsia="仿宋" w:cs="仿宋"/>
          <w:color w:val="000000" w:themeColor="text1"/>
          <w:sz w:val="32"/>
          <w:szCs w:val="32"/>
          <w:highlight w:val="none"/>
          <w14:textFill>
            <w14:solidFill>
              <w14:schemeClr w14:val="tx1"/>
            </w14:solidFill>
          </w14:textFill>
        </w:rPr>
        <w:t>单位医疗(项)2025年预算数为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53.79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主要是增加新入编人员。</w:t>
      </w:r>
    </w:p>
    <w:p w14:paraId="0414D1E2">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住房保障支出(类)住房改革支出(款)住房公积金(项)2025年预算数为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比去年增加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110.32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主要是增加新入编人员。</w:t>
      </w:r>
    </w:p>
    <w:p w14:paraId="2B62B06C">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年一般公共预算基本支出情况说明</w:t>
      </w:r>
    </w:p>
    <w:p w14:paraId="4BC2E1EA">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年一般公共预算基本支出为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1607.47</w:t>
      </w:r>
      <w:r>
        <w:rPr>
          <w:rFonts w:hint="eastAsia" w:ascii="仿宋" w:hAnsi="仿宋" w:eastAsia="仿宋" w:cs="仿宋"/>
          <w:color w:val="000000" w:themeColor="text1"/>
          <w:sz w:val="32"/>
          <w:szCs w:val="32"/>
          <w:highlight w:val="none"/>
          <w14:textFill>
            <w14:solidFill>
              <w14:schemeClr w14:val="tx1"/>
            </w14:solidFill>
          </w14:textFill>
        </w:rPr>
        <w:t>万元，其中：</w:t>
      </w:r>
    </w:p>
    <w:p w14:paraId="62176F32">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人员经费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1527.49</w:t>
      </w:r>
      <w:r>
        <w:rPr>
          <w:rFonts w:hint="eastAsia" w:ascii="仿宋" w:hAnsi="仿宋" w:eastAsia="仿宋" w:cs="仿宋"/>
          <w:color w:val="000000" w:themeColor="text1"/>
          <w:sz w:val="32"/>
          <w:szCs w:val="32"/>
          <w:highlight w:val="none"/>
          <w14:textFill>
            <w14:solidFill>
              <w14:schemeClr w14:val="tx1"/>
            </w14:solidFill>
          </w14:textFill>
        </w:rPr>
        <w:t>万元，主要包括：主要包括：基本工资、津贴补贴、绩效工资、机关事业单位基本养老保险缴费、职业年金缴费、职工基本医疗保险缴费、其他社会保障缴费、住房公积金、医疗费、其他工资福利支出、商品和服务支出（物业管理费、其他交通费）、离休费、生活补助、奖励金、其他对个人和家庭的补助支出等</w:t>
      </w:r>
    </w:p>
    <w:p w14:paraId="5FBFC38B">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公用经费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79.97</w:t>
      </w:r>
      <w:r>
        <w:rPr>
          <w:rFonts w:hint="eastAsia" w:ascii="仿宋" w:hAnsi="仿宋" w:eastAsia="仿宋" w:cs="仿宋"/>
          <w:color w:val="000000" w:themeColor="text1"/>
          <w:sz w:val="32"/>
          <w:szCs w:val="32"/>
          <w:highlight w:val="none"/>
          <w14:textFill>
            <w14:solidFill>
              <w14:schemeClr w14:val="tx1"/>
            </w14:solidFill>
          </w14:textFill>
        </w:rPr>
        <w:t>万元，主要包括：办公费、印刷费、咨询费、手续费、水费、电费、邮电费、物业管理费、</w:t>
      </w:r>
      <w:r>
        <w:rPr>
          <w:rFonts w:hint="eastAsia" w:ascii="仿宋" w:hAnsi="仿宋" w:eastAsia="仿宋" w:cs="仿宋"/>
          <w:color w:val="000000" w:themeColor="text1"/>
          <w:sz w:val="32"/>
          <w:szCs w:val="32"/>
          <w14:textFill>
            <w14:solidFill>
              <w14:schemeClr w14:val="tx1"/>
            </w14:solidFill>
          </w14:textFill>
        </w:rPr>
        <w:t>差旅费、维修（护）费、租赁费、会议费、培训费、专用材料费、劳务费、委托业务费、工会经费、其他商品和服务支出、资本性支出（办公设备购置费）。</w:t>
      </w:r>
    </w:p>
    <w:p w14:paraId="6F0FF2B0">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四、海南师范大学</w:t>
      </w:r>
      <w:r>
        <w:rPr>
          <w:rFonts w:hint="eastAsia" w:ascii="仿宋" w:hAnsi="仿宋" w:eastAsia="仿宋" w:cs="仿宋"/>
          <w:b/>
          <w:color w:val="000000" w:themeColor="text1"/>
          <w:sz w:val="32"/>
          <w:szCs w:val="32"/>
          <w:lang w:val="en-US" w:eastAsia="zh-CN"/>
          <w14:textFill>
            <w14:solidFill>
              <w14:schemeClr w14:val="tx1"/>
            </w14:solidFill>
          </w14:textFill>
        </w:rPr>
        <w:t>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年“三公”经费预算情况说明</w:t>
      </w:r>
    </w:p>
    <w:p w14:paraId="561BD8F5">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（一）海南师范大学</w:t>
      </w:r>
      <w:r>
        <w:rPr>
          <w:rFonts w:hint="eastAsia" w:ascii="仿宋" w:hAnsi="仿宋" w:eastAsia="仿宋" w:cs="仿宋"/>
          <w:color w:val="000000" w:themeColor="text1"/>
          <w:sz w:val="32"/>
          <w:szCs w:val="32"/>
          <w:lang w:val="en-US" w:eastAsia="zh-CN"/>
          <w14:textFill>
            <w14:solidFill>
              <w14:schemeClr w14:val="tx1"/>
            </w14:solidFill>
          </w14:textFill>
        </w:rPr>
        <w:t>附属小学</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年一般公共预算“三公”经费预算数为0，其中：</w:t>
      </w:r>
    </w:p>
    <w:p w14:paraId="6C83FBFB">
      <w:pPr>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rPr>
        <w:t>0万元</w:t>
      </w:r>
      <w:r>
        <w:rPr>
          <w:rFonts w:hint="eastAsia" w:ascii="仿宋" w:hAnsi="仿宋" w:eastAsia="仿宋" w:cs="仿宋"/>
          <w:sz w:val="32"/>
          <w:shd w:val="clear" w:color="auto" w:fill="FFFFFF"/>
        </w:rPr>
        <w:t>，与上年预算持平。根据上级部门安排的</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zCs w:val="32"/>
        </w:rPr>
        <w:t>0</w:t>
      </w:r>
      <w:r>
        <w:rPr>
          <w:rFonts w:hint="eastAsia" w:ascii="仿宋" w:hAnsi="仿宋" w:eastAsia="仿宋" w:cs="仿宋"/>
          <w:sz w:val="32"/>
          <w:shd w:val="clear" w:color="auto" w:fill="FFFFFF"/>
        </w:rPr>
        <w:t>次，出国（境）</w:t>
      </w:r>
      <w:r>
        <w:rPr>
          <w:rFonts w:hint="eastAsia" w:ascii="仿宋" w:hAnsi="仿宋" w:eastAsia="仿宋" w:cs="仿宋"/>
          <w:sz w:val="32"/>
          <w:szCs w:val="32"/>
        </w:rPr>
        <w:t>0</w:t>
      </w:r>
      <w:r>
        <w:rPr>
          <w:rFonts w:hint="eastAsia" w:ascii="仿宋" w:hAnsi="仿宋" w:eastAsia="仿宋" w:cs="仿宋"/>
          <w:sz w:val="32"/>
          <w:shd w:val="clear" w:color="auto" w:fill="FFFFFF"/>
        </w:rPr>
        <w:t>人。公务用车运行维护费</w:t>
      </w:r>
      <w:r>
        <w:rPr>
          <w:rFonts w:hint="eastAsia" w:ascii="仿宋" w:hAnsi="仿宋" w:eastAsia="仿宋" w:cs="仿宋"/>
          <w:sz w:val="32"/>
          <w:szCs w:val="32"/>
        </w:rPr>
        <w:t>0万元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rPr>
        <w:t>0辆，</w:t>
      </w:r>
      <w:r>
        <w:rPr>
          <w:rFonts w:hint="eastAsia" w:ascii="仿宋" w:hAnsi="仿宋" w:eastAsia="仿宋" w:cs="仿宋"/>
          <w:sz w:val="32"/>
          <w:shd w:val="clear" w:color="auto" w:fill="FFFFFF"/>
        </w:rPr>
        <w:t>无新增购置计划。</w:t>
      </w:r>
      <w:r>
        <w:rPr>
          <w:rFonts w:hint="eastAsia" w:ascii="仿宋" w:hAnsi="仿宋" w:eastAsia="仿宋" w:cs="仿宋"/>
          <w:sz w:val="32"/>
          <w:szCs w:val="32"/>
        </w:rPr>
        <w:t>公务接待费0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rPr>
        <w:t>0批0人</w:t>
      </w:r>
      <w:r>
        <w:rPr>
          <w:rFonts w:hint="eastAsia" w:ascii="仿宋" w:hAnsi="仿宋" w:eastAsia="仿宋" w:cs="仿宋"/>
          <w:sz w:val="32"/>
          <w:shd w:val="clear" w:color="auto" w:fill="FFFFFF"/>
        </w:rPr>
        <w:t>。</w:t>
      </w:r>
    </w:p>
    <w:p w14:paraId="7B846E79">
      <w:pPr>
        <w:spacing w:line="560" w:lineRule="exact"/>
        <w:ind w:firstLine="64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（二）海南师范大学</w:t>
      </w:r>
      <w:r>
        <w:rPr>
          <w:rFonts w:hint="eastAsia" w:ascii="仿宋" w:hAnsi="仿宋" w:eastAsia="仿宋" w:cs="仿宋"/>
          <w:color w:val="000000" w:themeColor="text1"/>
          <w:sz w:val="32"/>
          <w:szCs w:val="32"/>
          <w:lang w:val="en-US" w:eastAsia="zh-CN"/>
          <w14:textFill>
            <w14:solidFill>
              <w14:schemeClr w14:val="tx1"/>
            </w14:solidFill>
          </w14:textFill>
        </w:rPr>
        <w:t>附属小学</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年政府性基金预算“三公”经费预算数为0万元。</w:t>
      </w:r>
    </w:p>
    <w:p w14:paraId="5D8088CD">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w:t>
      </w:r>
      <w:r>
        <w:rPr>
          <w:rFonts w:hint="eastAsia" w:ascii="仿宋" w:hAnsi="仿宋" w:eastAsia="仿宋" w:cs="仿宋"/>
          <w:b/>
          <w:color w:val="000000" w:themeColor="text1"/>
          <w:sz w:val="32"/>
          <w:szCs w:val="32"/>
          <w:lang w:val="en-US" w:eastAsia="zh-CN"/>
          <w14:textFill>
            <w14:solidFill>
              <w14:schemeClr w14:val="tx1"/>
            </w14:solidFill>
          </w14:textFill>
        </w:rPr>
        <w:t>海南师范大学附属小学</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年政府性基金预算当年拨款情况说明</w:t>
      </w:r>
    </w:p>
    <w:p w14:paraId="5E28E47D">
      <w:pPr>
        <w:ind w:firstLine="640" w:firstLineChars="200"/>
        <w:rPr>
          <w:rFonts w:hint="eastAsia" w:ascii="仿宋" w:hAnsi="仿宋" w:eastAsia="仿宋" w:cs="仿宋"/>
          <w:sz w:val="32"/>
          <w:szCs w:val="32"/>
        </w:rPr>
      </w:pPr>
      <w:r>
        <w:rPr>
          <w:rFonts w:hint="eastAsia" w:ascii="仿宋" w:hAnsi="仿宋" w:eastAsia="仿宋" w:cs="仿宋"/>
          <w:sz w:val="32"/>
          <w:szCs w:val="32"/>
        </w:rPr>
        <w:t>（一）政府性基金预算当年规模变化情况</w:t>
      </w:r>
    </w:p>
    <w:p w14:paraId="503D0D1F">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海南师范大学附属</w:t>
      </w:r>
      <w:r>
        <w:rPr>
          <w:rFonts w:hint="eastAsia" w:ascii="仿宋" w:hAnsi="仿宋" w:eastAsia="仿宋" w:cs="仿宋"/>
          <w:sz w:val="32"/>
          <w:szCs w:val="32"/>
          <w:lang w:val="en-US" w:eastAsia="zh-CN"/>
        </w:rPr>
        <w:t>小学</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年及以前年度均无政府性基金预算拨款。</w:t>
      </w:r>
    </w:p>
    <w:p w14:paraId="17002A24">
      <w:pPr>
        <w:ind w:firstLine="640" w:firstLineChars="200"/>
        <w:rPr>
          <w:rFonts w:hint="eastAsia" w:ascii="仿宋" w:hAnsi="仿宋" w:eastAsia="仿宋" w:cs="仿宋"/>
          <w:sz w:val="32"/>
          <w:szCs w:val="32"/>
        </w:rPr>
      </w:pPr>
      <w:r>
        <w:rPr>
          <w:rFonts w:hint="eastAsia" w:ascii="仿宋" w:hAnsi="仿宋" w:eastAsia="仿宋" w:cs="仿宋"/>
          <w:sz w:val="32"/>
          <w:szCs w:val="32"/>
        </w:rPr>
        <w:t>（二）政府性基金预算当年拨款结构情况</w:t>
      </w:r>
    </w:p>
    <w:p w14:paraId="470DD991">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海南师范大学附属附属</w:t>
      </w:r>
      <w:r>
        <w:rPr>
          <w:rFonts w:hint="eastAsia" w:ascii="仿宋" w:hAnsi="仿宋" w:eastAsia="仿宋" w:cs="仿宋"/>
          <w:sz w:val="32"/>
          <w:szCs w:val="32"/>
          <w:lang w:val="en-US" w:eastAsia="zh-CN"/>
        </w:rPr>
        <w:t>小学</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年及以前年度均无政府性基金预算拨款。</w:t>
      </w:r>
    </w:p>
    <w:p w14:paraId="7CB66EA2">
      <w:pPr>
        <w:ind w:firstLine="640" w:firstLineChars="200"/>
        <w:rPr>
          <w:rFonts w:hint="eastAsia" w:ascii="仿宋" w:hAnsi="仿宋" w:eastAsia="仿宋" w:cs="仿宋"/>
          <w:sz w:val="32"/>
          <w:szCs w:val="32"/>
        </w:rPr>
      </w:pPr>
      <w:r>
        <w:rPr>
          <w:rFonts w:hint="eastAsia" w:ascii="仿宋" w:hAnsi="仿宋" w:eastAsia="仿宋" w:cs="仿宋"/>
          <w:sz w:val="32"/>
          <w:szCs w:val="32"/>
        </w:rPr>
        <w:t>（三）政府性基金预算当年拨款具体使用情况</w:t>
      </w:r>
    </w:p>
    <w:p w14:paraId="2883BE8F">
      <w:pPr>
        <w:ind w:firstLine="640" w:firstLineChars="200"/>
        <w:rPr>
          <w:rFonts w:hint="eastAsia" w:ascii="仿宋" w:hAnsi="仿宋" w:eastAsia="仿宋" w:cs="仿宋"/>
          <w:sz w:val="32"/>
          <w:szCs w:val="32"/>
        </w:rPr>
      </w:pPr>
      <w:r>
        <w:rPr>
          <w:rFonts w:hint="eastAsia" w:ascii="仿宋" w:hAnsi="仿宋" w:eastAsia="仿宋" w:cs="仿宋"/>
          <w:sz w:val="32"/>
          <w:szCs w:val="32"/>
        </w:rPr>
        <w:t>海南师范大学附属附属</w:t>
      </w:r>
      <w:r>
        <w:rPr>
          <w:rFonts w:hint="eastAsia" w:ascii="仿宋" w:hAnsi="仿宋" w:eastAsia="仿宋" w:cs="仿宋"/>
          <w:sz w:val="32"/>
          <w:szCs w:val="32"/>
          <w:lang w:val="en-US" w:eastAsia="zh-CN"/>
        </w:rPr>
        <w:t>小学</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年及以前年度均无政府性基金预算拨款。</w:t>
      </w:r>
    </w:p>
    <w:p w14:paraId="0DBD855A">
      <w:pPr>
        <w:spacing w:line="560" w:lineRule="exact"/>
        <w:ind w:firstLine="643" w:firstLineChars="200"/>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w:t>
      </w:r>
      <w:r>
        <w:rPr>
          <w:rFonts w:hint="eastAsia" w:ascii="仿宋" w:hAnsi="仿宋" w:eastAsia="仿宋" w:cs="仿宋"/>
          <w:b/>
          <w:color w:val="000000" w:themeColor="text1"/>
          <w:sz w:val="32"/>
          <w:szCs w:val="32"/>
          <w:lang w:val="en-US" w:eastAsia="zh-CN"/>
          <w14:textFill>
            <w14:solidFill>
              <w14:schemeClr w14:val="tx1"/>
            </w14:solidFill>
          </w14:textFill>
        </w:rPr>
        <w:t>国有资本</w:t>
      </w:r>
      <w:bookmarkStart w:id="0" w:name="_GoBack"/>
      <w:bookmarkEnd w:id="0"/>
      <w:r>
        <w:rPr>
          <w:rFonts w:hint="eastAsia" w:ascii="仿宋" w:hAnsi="仿宋" w:eastAsia="仿宋" w:cs="仿宋"/>
          <w:b/>
          <w:color w:val="000000" w:themeColor="text1"/>
          <w:sz w:val="32"/>
          <w:szCs w:val="32"/>
          <w:lang w:val="en-US" w:eastAsia="zh-CN"/>
          <w14:textFill>
            <w14:solidFill>
              <w14:schemeClr w14:val="tx1"/>
            </w14:solidFill>
          </w14:textFill>
        </w:rPr>
        <w:t>经营预算当年拨款情况说明</w:t>
      </w:r>
    </w:p>
    <w:p w14:paraId="5719BD03">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无此项内容。</w:t>
      </w:r>
    </w:p>
    <w:p w14:paraId="782A3DB7">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年收支预算情况的总体说明</w:t>
      </w:r>
    </w:p>
    <w:p w14:paraId="27B7E871">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按照综合预算原则，海南师范大学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所有收入和支出均纳入部门预算管理。收入包括：一般公共预算收入</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上年结转；支出包括：教育支出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社会保障和就业支出、卫生健康支出、住房保障支出。海南师范大学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年收入总预算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w:t>
      </w:r>
    </w:p>
    <w:p w14:paraId="2B41B7F9">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年收入预算情况说明</w:t>
      </w:r>
    </w:p>
    <w:p w14:paraId="31F7AC82">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年收入预算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万元，其中：一般公共预算拨款收入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w:t>
      </w:r>
    </w:p>
    <w:p w14:paraId="0DC650CD">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2025年收入预算比上年增加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主要是2025年一般公共预算比上年增加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1269.15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57247B19">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sz w:val="32"/>
          <w:szCs w:val="32"/>
          <w:highlight w:val="none"/>
          <w14:textFill>
            <w14:solidFill>
              <w14:schemeClr w14:val="tx1"/>
            </w14:solidFill>
          </w14:textFill>
        </w:rPr>
        <w:t>、关于海南师范大学</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年支出预算情况说明</w:t>
      </w:r>
    </w:p>
    <w:p w14:paraId="5FFD186A">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年支出预算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万元，其中：基本支出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1607.46</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64.16</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项目支出897.77万元，</w:t>
      </w:r>
      <w:r>
        <w:rPr>
          <w:rFonts w:hint="eastAsia" w:ascii="仿宋" w:hAnsi="仿宋" w:eastAsia="仿宋" w:cs="仿宋"/>
          <w:color w:val="000000" w:themeColor="text1"/>
          <w:sz w:val="32"/>
          <w:szCs w:val="32"/>
          <w:highlight w:val="none"/>
          <w14:textFill>
            <w14:solidFill>
              <w14:schemeClr w14:val="tx1"/>
            </w14:solidFill>
          </w14:textFill>
        </w:rPr>
        <w:t>占</w:t>
      </w:r>
      <w:r>
        <w:rPr>
          <w:rFonts w:hint="eastAsia" w:ascii="仿宋" w:hAnsi="仿宋" w:eastAsia="仿宋" w:cs="仿宋"/>
          <w:color w:val="000000" w:themeColor="text1"/>
          <w:sz w:val="32"/>
          <w:szCs w:val="32"/>
          <w:highlight w:val="none"/>
          <w:lang w:val="en-US" w:eastAsia="zh-CN"/>
          <w14:textFill>
            <w14:solidFill>
              <w14:schemeClr w14:val="tx1"/>
            </w14:solidFill>
          </w14:textFill>
        </w:rPr>
        <w:t>35.84</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4C4432DF">
      <w:pPr>
        <w:spacing w:line="560" w:lineRule="exact"/>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、其他重要事项的情况说明</w:t>
      </w:r>
    </w:p>
    <w:p w14:paraId="6A3792D7">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（一）机关运行经费（行政单位、参照公务员法管理的事业单位需说明，其他单位不需要说明）</w:t>
      </w:r>
    </w:p>
    <w:p w14:paraId="665F77F8">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w:t>
      </w:r>
      <w:r>
        <w:rPr>
          <w:rFonts w:hint="eastAsia" w:ascii="仿宋" w:hAnsi="仿宋" w:eastAsia="仿宋" w:cs="仿宋"/>
          <w:color w:val="000000" w:themeColor="text1"/>
          <w:sz w:val="32"/>
          <w:szCs w:val="32"/>
          <w:highlight w:val="none"/>
          <w14:textFill>
            <w14:solidFill>
              <w14:schemeClr w14:val="tx1"/>
            </w14:solidFill>
          </w14:textFill>
        </w:rPr>
        <w:t>为公益</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类事业单位，202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年无机关运行经费预算。</w:t>
      </w:r>
    </w:p>
    <w:p w14:paraId="3E2EE63D">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）政府采购情况</w:t>
      </w:r>
    </w:p>
    <w:p w14:paraId="256225DD">
      <w:pPr>
        <w:ind w:firstLine="64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年无政府采购预算。</w:t>
      </w:r>
    </w:p>
    <w:p w14:paraId="0C8F5558">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）国有资产占有使用情况</w:t>
      </w:r>
    </w:p>
    <w:p w14:paraId="7C59082D">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截至202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年12月31日，海南师范大学附属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w:t>
      </w:r>
      <w:r>
        <w:rPr>
          <w:rFonts w:hint="eastAsia" w:ascii="仿宋" w:hAnsi="仿宋" w:eastAsia="仿宋" w:cs="仿宋"/>
          <w:color w:val="000000" w:themeColor="text1"/>
          <w:sz w:val="32"/>
          <w:szCs w:val="32"/>
          <w:highlight w:val="none"/>
          <w14:textFill>
            <w14:solidFill>
              <w14:schemeClr w14:val="tx1"/>
            </w14:solidFill>
          </w14:textFill>
        </w:rPr>
        <w:t>共有车辆0辆。本单位无价值100万元以上设备。</w:t>
      </w:r>
    </w:p>
    <w:p w14:paraId="396744DF">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14:textFill>
            <w14:solidFill>
              <w14:schemeClr w14:val="tx1"/>
            </w14:solidFill>
          </w14:textFill>
        </w:rPr>
        <w:t>）绩效目标设置及重点项目绩效目标说明</w:t>
      </w:r>
    </w:p>
    <w:p w14:paraId="7EE2B65D">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年海南师范大学附属</w:t>
      </w:r>
      <w:r>
        <w:rPr>
          <w:rFonts w:hint="eastAsia" w:ascii="仿宋" w:hAnsi="仿宋" w:eastAsia="仿宋" w:cs="仿宋"/>
          <w:color w:val="000000" w:themeColor="text1"/>
          <w:sz w:val="32"/>
          <w:szCs w:val="32"/>
          <w:highlight w:val="none"/>
          <w:lang w:val="en-US" w:eastAsia="zh-CN"/>
          <w14:textFill>
            <w14:solidFill>
              <w14:schemeClr w14:val="tx1"/>
            </w14:solidFill>
          </w14:textFill>
        </w:rPr>
        <w:t>小学18</w:t>
      </w:r>
      <w:r>
        <w:rPr>
          <w:rFonts w:hint="eastAsia" w:ascii="仿宋" w:hAnsi="仿宋" w:eastAsia="仿宋" w:cs="仿宋"/>
          <w:color w:val="000000" w:themeColor="text1"/>
          <w:sz w:val="32"/>
          <w:szCs w:val="32"/>
          <w:highlight w:val="none"/>
          <w14:textFill>
            <w14:solidFill>
              <w14:schemeClr w14:val="tx1"/>
            </w14:solidFill>
          </w14:textFill>
        </w:rPr>
        <w:t>个项目实行绩效目标管理，涉及一般公共预算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2505.24</w:t>
      </w:r>
      <w:r>
        <w:rPr>
          <w:rFonts w:hint="eastAsia" w:ascii="仿宋" w:hAnsi="仿宋" w:eastAsia="仿宋" w:cs="仿宋"/>
          <w:color w:val="000000" w:themeColor="text1"/>
          <w:sz w:val="32"/>
          <w:szCs w:val="32"/>
          <w:highlight w:val="none"/>
          <w14:textFill>
            <w14:solidFill>
              <w14:schemeClr w14:val="tx1"/>
            </w14:solidFill>
          </w14:textFill>
        </w:rPr>
        <w:t>万元，无政府性基金预算。</w:t>
      </w:r>
    </w:p>
    <w:p w14:paraId="29CBA43B">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海南师范大学</w:t>
      </w:r>
      <w:r>
        <w:rPr>
          <w:rFonts w:hint="eastAsia" w:ascii="仿宋" w:hAnsi="仿宋" w:eastAsia="仿宋" w:cs="仿宋"/>
          <w:color w:val="000000" w:themeColor="text1"/>
          <w:sz w:val="32"/>
          <w:szCs w:val="32"/>
          <w:highlight w:val="none"/>
          <w:lang w:val="en-US" w:eastAsia="zh-CN"/>
          <w14:textFill>
            <w14:solidFill>
              <w14:schemeClr w14:val="tx1"/>
            </w14:solidFill>
          </w14:textFill>
        </w:rPr>
        <w:t>附属小学</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年无1000万元以上的特定目标类重点项目。根据本单位主要职能，选择除基本支出外的1个支出项目作为重点项目进行绩效目标说明，具体如下：</w:t>
      </w:r>
    </w:p>
    <w:p w14:paraId="6BB706F6">
      <w:pPr>
        <w:numPr>
          <w:ilvl w:val="0"/>
          <w:numId w:val="4"/>
        </w:num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设备（设施）运行维护与改造</w:t>
      </w:r>
      <w:r>
        <w:rPr>
          <w:rFonts w:hint="eastAsia" w:ascii="仿宋" w:hAnsi="仿宋" w:eastAsia="仿宋" w:cs="仿宋"/>
          <w:color w:val="000000" w:themeColor="text1"/>
          <w:sz w:val="32"/>
          <w:szCs w:val="32"/>
          <w:highlight w:val="none"/>
          <w14:textFill>
            <w14:solidFill>
              <w14:schemeClr w14:val="tx1"/>
            </w14:solidFill>
          </w14:textFill>
        </w:rPr>
        <w:t>项目，预算安排</w:t>
      </w:r>
      <w:r>
        <w:rPr>
          <w:rFonts w:hint="eastAsia" w:ascii="仿宋" w:hAnsi="仿宋" w:eastAsia="仿宋" w:cs="仿宋"/>
          <w:color w:val="000000" w:themeColor="text1"/>
          <w:sz w:val="32"/>
          <w:szCs w:val="32"/>
          <w:highlight w:val="none"/>
          <w:lang w:val="en-US" w:eastAsia="zh-CN"/>
          <w14:textFill>
            <w14:solidFill>
              <w14:schemeClr w14:val="tx1"/>
            </w14:solidFill>
          </w14:textFill>
        </w:rPr>
        <w:t>280</w:t>
      </w:r>
      <w:r>
        <w:rPr>
          <w:rFonts w:hint="eastAsia" w:ascii="仿宋" w:hAnsi="仿宋" w:eastAsia="仿宋" w:cs="仿宋"/>
          <w:color w:val="000000" w:themeColor="text1"/>
          <w:sz w:val="32"/>
          <w:szCs w:val="32"/>
          <w:highlight w:val="none"/>
          <w14:textFill>
            <w14:solidFill>
              <w14:schemeClr w14:val="tx1"/>
            </w14:solidFill>
          </w14:textFill>
        </w:rPr>
        <w:t>万元，为了学校提供更好的基础条件，更好的改善办学条件，不断提高办学能力。绩效目标：设施维护完成率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改造工程</w:t>
      </w:r>
      <w:r>
        <w:rPr>
          <w:rFonts w:hint="eastAsia" w:ascii="仿宋" w:hAnsi="仿宋" w:eastAsia="仿宋" w:cs="仿宋"/>
          <w:color w:val="000000" w:themeColor="text1"/>
          <w:sz w:val="32"/>
          <w:szCs w:val="32"/>
          <w:highlight w:val="none"/>
          <w14:textFill>
            <w14:solidFill>
              <w14:schemeClr w14:val="tx1"/>
            </w14:solidFill>
          </w14:textFill>
        </w:rPr>
        <w:t>验收合格率达100%。</w:t>
      </w:r>
    </w:p>
    <w:p w14:paraId="79570B99">
      <w:pPr>
        <w:numPr>
          <w:ilvl w:val="0"/>
          <w:numId w:val="4"/>
        </w:numPr>
        <w:ind w:left="0" w:leftChars="0"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城乡义务教育</w:t>
      </w:r>
      <w:r>
        <w:rPr>
          <w:rFonts w:hint="eastAsia" w:ascii="仿宋" w:hAnsi="仿宋" w:eastAsia="仿宋" w:cs="仿宋"/>
          <w:color w:val="000000" w:themeColor="text1"/>
          <w:sz w:val="32"/>
          <w:szCs w:val="32"/>
          <w:highlight w:val="none"/>
          <w14:textFill>
            <w14:solidFill>
              <w14:schemeClr w14:val="tx1"/>
            </w14:solidFill>
          </w14:textFill>
        </w:rPr>
        <w:t>补助项目，预算安排</w:t>
      </w:r>
      <w:r>
        <w:rPr>
          <w:rFonts w:hint="eastAsia" w:ascii="仿宋" w:hAnsi="仿宋" w:eastAsia="仿宋" w:cs="仿宋"/>
          <w:color w:val="000000" w:themeColor="text1"/>
          <w:sz w:val="32"/>
          <w:szCs w:val="32"/>
          <w:highlight w:val="none"/>
          <w:lang w:val="en-US" w:eastAsia="zh-CN"/>
          <w14:textFill>
            <w14:solidFill>
              <w14:schemeClr w14:val="tx1"/>
            </w14:solidFill>
          </w14:textFill>
        </w:rPr>
        <w:t>220.58</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教育补助项目通过补助政策免除学杂费、免费提供教科书、补助城乡家庭经济困难学生生活费、残疾学生。补助政策显著提高了教育公平性和可及性，确保每个孩子都能接受教育，缩小了教育差距，促进了社会公平和稳定</w:t>
      </w:r>
      <w:r>
        <w:rPr>
          <w:rFonts w:hint="eastAsia" w:ascii="仿宋" w:hAnsi="仿宋" w:eastAsia="仿宋" w:cs="仿宋"/>
          <w:color w:val="000000" w:themeColor="text1"/>
          <w:sz w:val="32"/>
          <w:szCs w:val="32"/>
          <w:highlight w:val="none"/>
          <w14:textFill>
            <w14:solidFill>
              <w14:schemeClr w14:val="tx1"/>
            </w14:solidFill>
          </w14:textFill>
        </w:rPr>
        <w:t>。绩效目标是享受免费教科书政策的学生比例</w:t>
      </w:r>
      <w:r>
        <w:rPr>
          <w:rFonts w:hint="eastAsia" w:ascii="仿宋" w:hAnsi="仿宋" w:eastAsia="仿宋" w:cs="仿宋"/>
          <w:color w:val="000000" w:themeColor="text1"/>
          <w:sz w:val="32"/>
          <w:szCs w:val="32"/>
          <w:highlight w:val="none"/>
          <w:lang w:eastAsia="zh-CN"/>
          <w14:textFill>
            <w14:solidFill>
              <w14:schemeClr w14:val="tx1"/>
            </w14:solidFill>
          </w14:textFill>
        </w:rPr>
        <w:t>，补助标准达标率，义务教育入学率，适龄儿童、少年接受义务教育比例。</w:t>
      </w:r>
    </w:p>
    <w:p w14:paraId="4274437E">
      <w:pPr>
        <w:numPr>
          <w:ilvl w:val="0"/>
          <w:numId w:val="0"/>
        </w:num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val="en-US" w:eastAsia="zh-CN"/>
          <w14:textFill>
            <w14:solidFill>
              <w14:schemeClr w14:val="tx1"/>
            </w14:solidFill>
          </w14:textFill>
        </w:rPr>
        <w:t>设备（装备）购置</w:t>
      </w:r>
      <w:r>
        <w:rPr>
          <w:rFonts w:hint="eastAsia" w:ascii="仿宋" w:hAnsi="仿宋" w:eastAsia="仿宋" w:cs="仿宋"/>
          <w:color w:val="000000" w:themeColor="text1"/>
          <w:sz w:val="32"/>
          <w:szCs w:val="32"/>
          <w:highlight w:val="none"/>
          <w14:textFill>
            <w14:solidFill>
              <w14:schemeClr w14:val="tx1"/>
            </w14:solidFill>
          </w14:textFill>
        </w:rPr>
        <w:t>项目，预算安排</w:t>
      </w:r>
      <w:r>
        <w:rPr>
          <w:rFonts w:hint="eastAsia" w:ascii="仿宋" w:hAnsi="仿宋" w:eastAsia="仿宋" w:cs="仿宋"/>
          <w:color w:val="000000" w:themeColor="text1"/>
          <w:sz w:val="32"/>
          <w:szCs w:val="32"/>
          <w:highlight w:val="none"/>
          <w:lang w:val="en-US" w:eastAsia="zh-CN"/>
          <w14:textFill>
            <w14:solidFill>
              <w14:schemeClr w14:val="tx1"/>
            </w14:solidFill>
          </w14:textFill>
        </w:rPr>
        <w:t>50</w:t>
      </w:r>
      <w:r>
        <w:rPr>
          <w:rFonts w:hint="eastAsia" w:ascii="仿宋" w:hAnsi="仿宋" w:eastAsia="仿宋" w:cs="仿宋"/>
          <w:color w:val="000000" w:themeColor="text1"/>
          <w:sz w:val="32"/>
          <w:szCs w:val="32"/>
          <w:highlight w:val="none"/>
          <w14:textFill>
            <w14:solidFill>
              <w14:schemeClr w14:val="tx1"/>
            </w14:solidFill>
          </w14:textFill>
        </w:rPr>
        <w:t>万元，主完善升级学校设备设施及教学硬件、教师办公设备。对全校师生人身安全、财产保护以及合理维权提供有效保障、支持线上线下同步教学、提升工作效率、改善工作环境、增强教学互动性和提升教学质量，达到现代化的教学设备、丰富教学手段，提高教学效率，为学生提供更好的学习体验。</w:t>
      </w:r>
      <w:r>
        <w:rPr>
          <w:rFonts w:hint="eastAsia" w:ascii="仿宋" w:hAnsi="仿宋" w:eastAsia="仿宋" w:cs="仿宋"/>
          <w:color w:val="000000" w:themeColor="text1"/>
          <w:sz w:val="32"/>
          <w:szCs w:val="32"/>
          <w:highlight w:val="none"/>
          <w:lang w:val="en-US" w:eastAsia="zh-CN"/>
          <w14:textFill>
            <w14:solidFill>
              <w14:schemeClr w14:val="tx1"/>
            </w14:solidFill>
          </w14:textFill>
        </w:rPr>
        <w:t>绩效目标是</w:t>
      </w:r>
      <w:r>
        <w:rPr>
          <w:rFonts w:hint="eastAsia" w:ascii="仿宋" w:hAnsi="仿宋" w:eastAsia="仿宋" w:cs="仿宋"/>
          <w:color w:val="000000" w:themeColor="text1"/>
          <w:sz w:val="32"/>
          <w:szCs w:val="32"/>
          <w:highlight w:val="none"/>
          <w14:textFill>
            <w14:solidFill>
              <w14:schemeClr w14:val="tx1"/>
            </w14:solidFill>
          </w14:textFill>
        </w:rPr>
        <w:t>保障单位日常运转，设备利用率</w:t>
      </w:r>
      <w:r>
        <w:rPr>
          <w:rFonts w:hint="eastAsia" w:ascii="仿宋" w:hAnsi="仿宋" w:eastAsia="仿宋" w:cs="仿宋"/>
          <w:color w:val="000000" w:themeColor="text1"/>
          <w:sz w:val="32"/>
          <w:szCs w:val="32"/>
          <w:highlight w:val="none"/>
          <w:lang w:eastAsia="zh-CN"/>
          <w14:textFill>
            <w14:solidFill>
              <w14:schemeClr w14:val="tx1"/>
            </w14:solidFill>
          </w14:textFill>
        </w:rPr>
        <w:t>，设备</w:t>
      </w:r>
      <w:r>
        <w:rPr>
          <w:rFonts w:hint="eastAsia" w:ascii="仿宋" w:hAnsi="仿宋" w:eastAsia="仿宋" w:cs="仿宋"/>
          <w:color w:val="000000" w:themeColor="text1"/>
          <w:sz w:val="32"/>
          <w:szCs w:val="32"/>
          <w:highlight w:val="none"/>
          <w14:textFill>
            <w14:solidFill>
              <w14:schemeClr w14:val="tx1"/>
            </w14:solidFill>
          </w14:textFill>
        </w:rPr>
        <w:t>验收合格率</w:t>
      </w:r>
      <w:r>
        <w:rPr>
          <w:rFonts w:hint="eastAsia" w:ascii="仿宋" w:hAnsi="仿宋" w:eastAsia="仿宋" w:cs="仿宋"/>
          <w:color w:val="000000" w:themeColor="text1"/>
          <w:sz w:val="32"/>
          <w:szCs w:val="32"/>
          <w:highlight w:val="none"/>
          <w:lang w:val="en-US" w:eastAsia="zh-CN"/>
          <w14:textFill>
            <w14:solidFill>
              <w14:schemeClr w14:val="tx1"/>
            </w14:solidFill>
          </w14:textFill>
        </w:rPr>
        <w:t>等于</w:t>
      </w:r>
      <w:r>
        <w:rPr>
          <w:rFonts w:hint="eastAsia" w:ascii="仿宋" w:hAnsi="仿宋" w:eastAsia="仿宋" w:cs="仿宋"/>
          <w:color w:val="000000" w:themeColor="text1"/>
          <w:sz w:val="32"/>
          <w:szCs w:val="32"/>
          <w:highlight w:val="none"/>
          <w14:textFill>
            <w14:solidFill>
              <w14:schemeClr w14:val="tx1"/>
            </w14:solidFill>
          </w14:textFill>
        </w:rPr>
        <w:t>100%。</w:t>
      </w:r>
    </w:p>
    <w:p w14:paraId="2E57B6F0">
      <w:pPr>
        <w:numPr>
          <w:ilvl w:val="0"/>
          <w:numId w:val="0"/>
        </w:num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14:paraId="3C435FB1">
      <w:pPr>
        <w:rPr>
          <w:rFonts w:hint="eastAsia" w:ascii="仿宋" w:hAnsi="仿宋" w:eastAsia="仿宋" w:cs="仿宋"/>
          <w:b/>
          <w:color w:val="000000" w:themeColor="text1"/>
          <w:sz w:val="32"/>
          <w:szCs w:val="32"/>
          <w:highlight w:val="none"/>
          <w14:textFill>
            <w14:solidFill>
              <w14:schemeClr w14:val="tx1"/>
            </w14:solidFill>
          </w14:textFill>
        </w:rPr>
      </w:pPr>
    </w:p>
    <w:p w14:paraId="75DFF072">
      <w:pPr>
        <w:spacing w:line="560" w:lineRule="exac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第四部分  名词解释</w:t>
      </w:r>
    </w:p>
    <w:p w14:paraId="0372410A">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14:paraId="19522F15">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一、财政拨款收入：指本级财政当年拨付的资金。</w:t>
      </w:r>
    </w:p>
    <w:p w14:paraId="5D9D14A1">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二、一般公共预算拨款收入：指用于反映税收收入、专项收入、行政事业性收费收入、罚没收入、国有资源（资产）有偿使用收入、政府住房基金收入、捐赠收入等财政收入。</w:t>
      </w:r>
    </w:p>
    <w:p w14:paraId="492FD95E">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三、政府性基金预算拨款收入：指是用于反映政府为支持某项事业发展或特定基础设施建设，依法依规向公民、法人和其他组织征收的以及出让土地、发行彩票等方式取得的具有专门用途的资金</w:t>
      </w:r>
    </w:p>
    <w:p w14:paraId="3EB937F9">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四、事业收入：指用于反映事业单位开展专业业务活动及辅助活动所取得的收入。 </w:t>
      </w:r>
    </w:p>
    <w:p w14:paraId="2C4BDD98">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五、事业单位经营收入：指用于反映事业单位在专业活动及辅助活动之外开展非独立核算经营活动取得的收入。</w:t>
      </w:r>
    </w:p>
    <w:p w14:paraId="30E5F612">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六、其他收入：指除上述“财政拨款收入”“事业收入”“经营收入”等以外的收入。</w:t>
      </w:r>
    </w:p>
    <w:p w14:paraId="0638BDF0">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七、上年结转：指以前年度尚未完成、结转到本年按有关规定继续使用的资金。</w:t>
      </w:r>
    </w:p>
    <w:p w14:paraId="11210313">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八、基本支出：指行政事业单位用于为保障其机构正常运转、完成日常工作任务而发生的人员支出和公用支出。</w:t>
      </w:r>
    </w:p>
    <w:p w14:paraId="22873ED3">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九、工资福利支出：反映单位开支的在职职工和编制外长期聘用人员的各类劳动报酬，以及为上述人员缴纳的各项社会保险费等。</w:t>
      </w:r>
    </w:p>
    <w:p w14:paraId="16139BC7">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十、对个人和家庭的补助支出：反映政府用于对个人和家庭的补助支出，包括离休费、退休费、退职（役）费、抚恤金、生活补助、救济费、医疗费补助、助学金、独生子女奖励金、其他等。</w:t>
      </w:r>
    </w:p>
    <w:p w14:paraId="244CEF8F">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4D5254B6">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十二、项目支出：指各部门、各单位为完成其特定的工作任务和事业发展目标所发生的支出。</w:t>
      </w:r>
    </w:p>
    <w:p w14:paraId="52451BF2">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416501E8">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四、机关运行经费：为保障行政单位（含参照公务员法管理的事业单位）运行用于购买货物和服务的各项资金，包括办公及印刷费、邮电费、差旅费、会议费、日常维修费、专用材料及一般设备购置费、办公用房水电费、</w:t>
      </w:r>
      <w:r>
        <w:rPr>
          <w:rFonts w:hint="eastAsia" w:ascii="仿宋" w:hAnsi="仿宋" w:eastAsia="仿宋" w:cs="仿宋"/>
          <w:color w:val="000000" w:themeColor="text1"/>
          <w:sz w:val="32"/>
          <w:szCs w:val="32"/>
          <w14:textFill>
            <w14:solidFill>
              <w14:schemeClr w14:val="tx1"/>
            </w14:solidFill>
          </w14:textFill>
        </w:rPr>
        <w:t>办公用房取暖费、办公用房物业管理费、公务用车运行维护费以及其他费用。</w:t>
      </w:r>
    </w:p>
    <w:p w14:paraId="16EB50D9">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14:paraId="1B02C91E">
      <w:pPr>
        <w:ind w:firstLine="640" w:firstLineChars="200"/>
        <w:jc w:val="left"/>
        <w:rPr>
          <w:rFonts w:ascii="仿宋" w:hAnsi="仿宋" w:eastAsia="仿宋" w:cs="仿宋_GB2312"/>
          <w:color w:val="000000" w:themeColor="text1"/>
          <w:sz w:val="32"/>
          <w:szCs w:val="32"/>
          <w14:textFill>
            <w14:solidFill>
              <w14:schemeClr w14:val="tx1"/>
            </w14:solidFill>
          </w14:textFill>
        </w:rPr>
      </w:pPr>
    </w:p>
    <w:p w14:paraId="1089A114">
      <w:pPr>
        <w:ind w:firstLine="640" w:firstLineChars="200"/>
        <w:jc w:val="left"/>
        <w:rPr>
          <w:rFonts w:ascii="仿宋" w:hAnsi="仿宋" w:eastAsia="仿宋" w:cs="仿宋_GB2312"/>
          <w:color w:val="000000" w:themeColor="text1"/>
          <w:sz w:val="32"/>
          <w:szCs w:val="32"/>
          <w14:textFill>
            <w14:solidFill>
              <w14:schemeClr w14:val="tx1"/>
            </w14:solidFill>
          </w14:textFill>
        </w:rPr>
      </w:pPr>
    </w:p>
    <w:sectPr>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242A"/>
    <w:multiLevelType w:val="singleLevel"/>
    <w:tmpl w:val="FFFC242A"/>
    <w:lvl w:ilvl="0" w:tentative="0">
      <w:start w:val="1"/>
      <w:numFmt w:val="decimal"/>
      <w:suff w:val="space"/>
      <w:lvlText w:val="%1."/>
      <w:lvlJc w:val="left"/>
    </w:lvl>
  </w:abstractNum>
  <w:abstractNum w:abstractNumId="1">
    <w:nsid w:val="05832B87"/>
    <w:multiLevelType w:val="multilevel"/>
    <w:tmpl w:val="05832B87"/>
    <w:lvl w:ilvl="0" w:tentative="0">
      <w:start w:val="1"/>
      <w:numFmt w:val="chineseCountingThousand"/>
      <w:lvlText w:val="第%1部分"/>
      <w:lvlJc w:val="left"/>
      <w:pPr>
        <w:ind w:left="203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TlmZmM1MDc4Y2M2N2U1MzlhN2M0NmNhYTczOGMifQ=="/>
  </w:docVars>
  <w:rsids>
    <w:rsidRoot w:val="006F4520"/>
    <w:rsid w:val="00001E1B"/>
    <w:rsid w:val="000079F2"/>
    <w:rsid w:val="00012A02"/>
    <w:rsid w:val="00023449"/>
    <w:rsid w:val="0002676F"/>
    <w:rsid w:val="00046137"/>
    <w:rsid w:val="00072C98"/>
    <w:rsid w:val="00077631"/>
    <w:rsid w:val="00092F7A"/>
    <w:rsid w:val="000A5E23"/>
    <w:rsid w:val="000B38CC"/>
    <w:rsid w:val="000C2574"/>
    <w:rsid w:val="000C6654"/>
    <w:rsid w:val="000D11FD"/>
    <w:rsid w:val="000D655B"/>
    <w:rsid w:val="000E771A"/>
    <w:rsid w:val="000F118D"/>
    <w:rsid w:val="000F458E"/>
    <w:rsid w:val="000F7A58"/>
    <w:rsid w:val="00122AD8"/>
    <w:rsid w:val="00125CEC"/>
    <w:rsid w:val="001414CD"/>
    <w:rsid w:val="00144922"/>
    <w:rsid w:val="00150A27"/>
    <w:rsid w:val="00154058"/>
    <w:rsid w:val="001729E5"/>
    <w:rsid w:val="00176E42"/>
    <w:rsid w:val="00193866"/>
    <w:rsid w:val="001967BF"/>
    <w:rsid w:val="001A069A"/>
    <w:rsid w:val="001A3025"/>
    <w:rsid w:val="001A4C19"/>
    <w:rsid w:val="001A72F3"/>
    <w:rsid w:val="001C4610"/>
    <w:rsid w:val="001C6B35"/>
    <w:rsid w:val="001F7821"/>
    <w:rsid w:val="00203832"/>
    <w:rsid w:val="00207904"/>
    <w:rsid w:val="00211E95"/>
    <w:rsid w:val="00213695"/>
    <w:rsid w:val="00217E50"/>
    <w:rsid w:val="0024465C"/>
    <w:rsid w:val="0024489B"/>
    <w:rsid w:val="00244B0C"/>
    <w:rsid w:val="00245982"/>
    <w:rsid w:val="00254281"/>
    <w:rsid w:val="00256062"/>
    <w:rsid w:val="002613DD"/>
    <w:rsid w:val="00266552"/>
    <w:rsid w:val="002768B3"/>
    <w:rsid w:val="00280582"/>
    <w:rsid w:val="00284E8C"/>
    <w:rsid w:val="0029744D"/>
    <w:rsid w:val="0029766B"/>
    <w:rsid w:val="002A67CC"/>
    <w:rsid w:val="002C00F7"/>
    <w:rsid w:val="002C1510"/>
    <w:rsid w:val="002C3FC1"/>
    <w:rsid w:val="002C5C48"/>
    <w:rsid w:val="002C6270"/>
    <w:rsid w:val="002D13A1"/>
    <w:rsid w:val="002D649C"/>
    <w:rsid w:val="002E4AAF"/>
    <w:rsid w:val="002E5B17"/>
    <w:rsid w:val="002F1F26"/>
    <w:rsid w:val="002F6B89"/>
    <w:rsid w:val="002F6BFF"/>
    <w:rsid w:val="003219D8"/>
    <w:rsid w:val="00322B21"/>
    <w:rsid w:val="00341407"/>
    <w:rsid w:val="003455F4"/>
    <w:rsid w:val="003558E2"/>
    <w:rsid w:val="003605B5"/>
    <w:rsid w:val="003617E3"/>
    <w:rsid w:val="00366B1C"/>
    <w:rsid w:val="00372A37"/>
    <w:rsid w:val="00376B55"/>
    <w:rsid w:val="00397CEF"/>
    <w:rsid w:val="003A13C9"/>
    <w:rsid w:val="003A6C27"/>
    <w:rsid w:val="003B2496"/>
    <w:rsid w:val="003B3CED"/>
    <w:rsid w:val="003C5D22"/>
    <w:rsid w:val="003D1924"/>
    <w:rsid w:val="003D4058"/>
    <w:rsid w:val="003E4DE5"/>
    <w:rsid w:val="003E683E"/>
    <w:rsid w:val="003F57EC"/>
    <w:rsid w:val="003F7A53"/>
    <w:rsid w:val="00400A1A"/>
    <w:rsid w:val="00404692"/>
    <w:rsid w:val="004250BB"/>
    <w:rsid w:val="00441D9F"/>
    <w:rsid w:val="00444F33"/>
    <w:rsid w:val="0044579D"/>
    <w:rsid w:val="0046172C"/>
    <w:rsid w:val="004632F9"/>
    <w:rsid w:val="00470033"/>
    <w:rsid w:val="00480255"/>
    <w:rsid w:val="004920CA"/>
    <w:rsid w:val="004A6121"/>
    <w:rsid w:val="004A6563"/>
    <w:rsid w:val="004E5603"/>
    <w:rsid w:val="005152A4"/>
    <w:rsid w:val="0052213D"/>
    <w:rsid w:val="00522DF9"/>
    <w:rsid w:val="00527EB4"/>
    <w:rsid w:val="00535354"/>
    <w:rsid w:val="005450CB"/>
    <w:rsid w:val="005548FD"/>
    <w:rsid w:val="00557E85"/>
    <w:rsid w:val="00564762"/>
    <w:rsid w:val="00572925"/>
    <w:rsid w:val="00573972"/>
    <w:rsid w:val="0057446E"/>
    <w:rsid w:val="00576CE7"/>
    <w:rsid w:val="00576D08"/>
    <w:rsid w:val="0057745F"/>
    <w:rsid w:val="00581F18"/>
    <w:rsid w:val="00587859"/>
    <w:rsid w:val="005A0589"/>
    <w:rsid w:val="005A09D4"/>
    <w:rsid w:val="005B6B10"/>
    <w:rsid w:val="005D04A2"/>
    <w:rsid w:val="005D2ED9"/>
    <w:rsid w:val="005E1822"/>
    <w:rsid w:val="005E1FB3"/>
    <w:rsid w:val="005E3D54"/>
    <w:rsid w:val="005E77D2"/>
    <w:rsid w:val="005F1487"/>
    <w:rsid w:val="00610F53"/>
    <w:rsid w:val="00612962"/>
    <w:rsid w:val="00623BD3"/>
    <w:rsid w:val="00627E8F"/>
    <w:rsid w:val="006335E4"/>
    <w:rsid w:val="00640D79"/>
    <w:rsid w:val="006436D5"/>
    <w:rsid w:val="00646C33"/>
    <w:rsid w:val="006471E5"/>
    <w:rsid w:val="00652DED"/>
    <w:rsid w:val="006555D6"/>
    <w:rsid w:val="00655DF4"/>
    <w:rsid w:val="00660D35"/>
    <w:rsid w:val="00663AA6"/>
    <w:rsid w:val="0066505D"/>
    <w:rsid w:val="00666C48"/>
    <w:rsid w:val="00674585"/>
    <w:rsid w:val="006939AA"/>
    <w:rsid w:val="006949BF"/>
    <w:rsid w:val="006974F9"/>
    <w:rsid w:val="006A2060"/>
    <w:rsid w:val="006A58B0"/>
    <w:rsid w:val="006B2E7C"/>
    <w:rsid w:val="006B4202"/>
    <w:rsid w:val="006C3F9E"/>
    <w:rsid w:val="006F4520"/>
    <w:rsid w:val="00700287"/>
    <w:rsid w:val="00704C5D"/>
    <w:rsid w:val="007058B9"/>
    <w:rsid w:val="00705C53"/>
    <w:rsid w:val="0071128D"/>
    <w:rsid w:val="00720119"/>
    <w:rsid w:val="00726165"/>
    <w:rsid w:val="00741854"/>
    <w:rsid w:val="007502AB"/>
    <w:rsid w:val="00755CC0"/>
    <w:rsid w:val="00756732"/>
    <w:rsid w:val="00766FFC"/>
    <w:rsid w:val="00784948"/>
    <w:rsid w:val="00786BC7"/>
    <w:rsid w:val="00796700"/>
    <w:rsid w:val="007B6D12"/>
    <w:rsid w:val="007C4A61"/>
    <w:rsid w:val="007D716A"/>
    <w:rsid w:val="007E2E24"/>
    <w:rsid w:val="007E38D7"/>
    <w:rsid w:val="007E763D"/>
    <w:rsid w:val="008068A0"/>
    <w:rsid w:val="00816E50"/>
    <w:rsid w:val="00827348"/>
    <w:rsid w:val="0086127F"/>
    <w:rsid w:val="0086524D"/>
    <w:rsid w:val="00874D69"/>
    <w:rsid w:val="00880E09"/>
    <w:rsid w:val="0088602B"/>
    <w:rsid w:val="008A6786"/>
    <w:rsid w:val="008B5B86"/>
    <w:rsid w:val="008D0A41"/>
    <w:rsid w:val="008D3436"/>
    <w:rsid w:val="008E49EE"/>
    <w:rsid w:val="008E7CA0"/>
    <w:rsid w:val="009356B5"/>
    <w:rsid w:val="0095259E"/>
    <w:rsid w:val="00955356"/>
    <w:rsid w:val="009608C3"/>
    <w:rsid w:val="00972454"/>
    <w:rsid w:val="00977332"/>
    <w:rsid w:val="009852D4"/>
    <w:rsid w:val="0098752B"/>
    <w:rsid w:val="00994BAD"/>
    <w:rsid w:val="009A01FE"/>
    <w:rsid w:val="009B0985"/>
    <w:rsid w:val="009B4279"/>
    <w:rsid w:val="009B4493"/>
    <w:rsid w:val="009C193C"/>
    <w:rsid w:val="009C7075"/>
    <w:rsid w:val="009D0B2E"/>
    <w:rsid w:val="009E0672"/>
    <w:rsid w:val="009E4D50"/>
    <w:rsid w:val="009E657D"/>
    <w:rsid w:val="00A03E9A"/>
    <w:rsid w:val="00A06F97"/>
    <w:rsid w:val="00A07CAE"/>
    <w:rsid w:val="00A109DA"/>
    <w:rsid w:val="00A36861"/>
    <w:rsid w:val="00A44297"/>
    <w:rsid w:val="00A55D08"/>
    <w:rsid w:val="00A6302F"/>
    <w:rsid w:val="00A65087"/>
    <w:rsid w:val="00A655E6"/>
    <w:rsid w:val="00A945B9"/>
    <w:rsid w:val="00AA3117"/>
    <w:rsid w:val="00AB6C9E"/>
    <w:rsid w:val="00AC1D0E"/>
    <w:rsid w:val="00AC6300"/>
    <w:rsid w:val="00AC730E"/>
    <w:rsid w:val="00AC75ED"/>
    <w:rsid w:val="00AD317A"/>
    <w:rsid w:val="00AD5173"/>
    <w:rsid w:val="00AD6DF0"/>
    <w:rsid w:val="00AF07E3"/>
    <w:rsid w:val="00AF34C2"/>
    <w:rsid w:val="00AF7EA4"/>
    <w:rsid w:val="00B018A3"/>
    <w:rsid w:val="00B14504"/>
    <w:rsid w:val="00B278B2"/>
    <w:rsid w:val="00B52477"/>
    <w:rsid w:val="00B549C7"/>
    <w:rsid w:val="00B6604F"/>
    <w:rsid w:val="00B87E4F"/>
    <w:rsid w:val="00B903D3"/>
    <w:rsid w:val="00B963E8"/>
    <w:rsid w:val="00BA0E55"/>
    <w:rsid w:val="00BB2966"/>
    <w:rsid w:val="00BB2ECD"/>
    <w:rsid w:val="00BC3CE6"/>
    <w:rsid w:val="00BD6C43"/>
    <w:rsid w:val="00BE0F41"/>
    <w:rsid w:val="00BF783A"/>
    <w:rsid w:val="00C04C66"/>
    <w:rsid w:val="00C3099A"/>
    <w:rsid w:val="00C337A5"/>
    <w:rsid w:val="00C422B8"/>
    <w:rsid w:val="00C638FC"/>
    <w:rsid w:val="00C73F4F"/>
    <w:rsid w:val="00C75CA4"/>
    <w:rsid w:val="00C76D84"/>
    <w:rsid w:val="00C76FB7"/>
    <w:rsid w:val="00C90BA2"/>
    <w:rsid w:val="00CA1927"/>
    <w:rsid w:val="00CB5DFD"/>
    <w:rsid w:val="00CD53E6"/>
    <w:rsid w:val="00CE777C"/>
    <w:rsid w:val="00CF3517"/>
    <w:rsid w:val="00CF471C"/>
    <w:rsid w:val="00D12066"/>
    <w:rsid w:val="00D316D9"/>
    <w:rsid w:val="00D43CDA"/>
    <w:rsid w:val="00D53465"/>
    <w:rsid w:val="00D53AF9"/>
    <w:rsid w:val="00D7185B"/>
    <w:rsid w:val="00D73CE5"/>
    <w:rsid w:val="00D8133D"/>
    <w:rsid w:val="00D821A1"/>
    <w:rsid w:val="00D94D3B"/>
    <w:rsid w:val="00D966ED"/>
    <w:rsid w:val="00D97D0D"/>
    <w:rsid w:val="00DA332C"/>
    <w:rsid w:val="00DA3552"/>
    <w:rsid w:val="00DA4BB4"/>
    <w:rsid w:val="00DB5665"/>
    <w:rsid w:val="00DC4C91"/>
    <w:rsid w:val="00DE0DE1"/>
    <w:rsid w:val="00DE4BE7"/>
    <w:rsid w:val="00E0732C"/>
    <w:rsid w:val="00E11205"/>
    <w:rsid w:val="00E22E94"/>
    <w:rsid w:val="00E3018B"/>
    <w:rsid w:val="00E37859"/>
    <w:rsid w:val="00E40D05"/>
    <w:rsid w:val="00E52FC6"/>
    <w:rsid w:val="00E54DD3"/>
    <w:rsid w:val="00E55AAC"/>
    <w:rsid w:val="00E71625"/>
    <w:rsid w:val="00E80228"/>
    <w:rsid w:val="00E86ABA"/>
    <w:rsid w:val="00E879AC"/>
    <w:rsid w:val="00E9326C"/>
    <w:rsid w:val="00EB2F38"/>
    <w:rsid w:val="00ED2411"/>
    <w:rsid w:val="00ED67F4"/>
    <w:rsid w:val="00ED7F7E"/>
    <w:rsid w:val="00EE2EDC"/>
    <w:rsid w:val="00EE7FD5"/>
    <w:rsid w:val="00EF5348"/>
    <w:rsid w:val="00F073ED"/>
    <w:rsid w:val="00F13322"/>
    <w:rsid w:val="00F233D7"/>
    <w:rsid w:val="00F33F9C"/>
    <w:rsid w:val="00F45A92"/>
    <w:rsid w:val="00F46233"/>
    <w:rsid w:val="00F75F98"/>
    <w:rsid w:val="00F900B0"/>
    <w:rsid w:val="00F93812"/>
    <w:rsid w:val="00FA179B"/>
    <w:rsid w:val="00FA5A85"/>
    <w:rsid w:val="00FA650C"/>
    <w:rsid w:val="00FC15AB"/>
    <w:rsid w:val="00FF27F5"/>
    <w:rsid w:val="018B7D8A"/>
    <w:rsid w:val="06524050"/>
    <w:rsid w:val="0AF344E1"/>
    <w:rsid w:val="0CEC743A"/>
    <w:rsid w:val="0D0F141B"/>
    <w:rsid w:val="0DF465A6"/>
    <w:rsid w:val="14847F58"/>
    <w:rsid w:val="14883E42"/>
    <w:rsid w:val="1537775D"/>
    <w:rsid w:val="15780FB7"/>
    <w:rsid w:val="16C17241"/>
    <w:rsid w:val="187736A1"/>
    <w:rsid w:val="18911017"/>
    <w:rsid w:val="1B0967C9"/>
    <w:rsid w:val="1C5851A5"/>
    <w:rsid w:val="1EBD6A8F"/>
    <w:rsid w:val="1FD96CCE"/>
    <w:rsid w:val="27032260"/>
    <w:rsid w:val="2BEE5AF4"/>
    <w:rsid w:val="2EBD33E1"/>
    <w:rsid w:val="37B065E5"/>
    <w:rsid w:val="3B120534"/>
    <w:rsid w:val="423A6021"/>
    <w:rsid w:val="46A725E1"/>
    <w:rsid w:val="478A6879"/>
    <w:rsid w:val="4F6841D5"/>
    <w:rsid w:val="51271091"/>
    <w:rsid w:val="516C4918"/>
    <w:rsid w:val="53F11AD3"/>
    <w:rsid w:val="59A921E7"/>
    <w:rsid w:val="63AA400F"/>
    <w:rsid w:val="67D82E69"/>
    <w:rsid w:val="681D4BEC"/>
    <w:rsid w:val="6A1C5859"/>
    <w:rsid w:val="6AAD4C88"/>
    <w:rsid w:val="6B974D54"/>
    <w:rsid w:val="6EF476A0"/>
    <w:rsid w:val="6FDB1131"/>
    <w:rsid w:val="759E5A72"/>
    <w:rsid w:val="7BF736D2"/>
    <w:rsid w:val="7D8201F6"/>
    <w:rsid w:val="7EFDD520"/>
    <w:rsid w:val="ABBF3834"/>
    <w:rsid w:val="D97F626E"/>
    <w:rsid w:val="FC6FBB23"/>
    <w:rsid w:val="FF5F5C3D"/>
    <w:rsid w:val="FF7C1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jc w:val="left"/>
    </w:pPr>
    <w:rPr>
      <w:rFonts w:cs="Times New Roman"/>
      <w:kern w:val="0"/>
      <w:szCs w:val="21"/>
    </w:rPr>
  </w:style>
  <w:style w:type="character" w:styleId="8">
    <w:name w:val="Strong"/>
    <w:basedOn w:val="7"/>
    <w:qFormat/>
    <w:uiPriority w:val="22"/>
    <w:rPr>
      <w:b/>
    </w:rPr>
  </w:style>
  <w:style w:type="character" w:styleId="9">
    <w:name w:val="FollowedHyperlink"/>
    <w:basedOn w:val="7"/>
    <w:semiHidden/>
    <w:unhideWhenUsed/>
    <w:qFormat/>
    <w:uiPriority w:val="0"/>
    <w:rPr>
      <w:color w:val="555555"/>
      <w:u w:val="none"/>
    </w:rPr>
  </w:style>
  <w:style w:type="character" w:styleId="10">
    <w:name w:val="Emphasis"/>
    <w:basedOn w:val="7"/>
    <w:qFormat/>
    <w:uiPriority w:val="20"/>
  </w:style>
  <w:style w:type="character" w:styleId="11">
    <w:name w:val="Hyperlink"/>
    <w:basedOn w:val="7"/>
    <w:semiHidden/>
    <w:unhideWhenUsed/>
    <w:qFormat/>
    <w:uiPriority w:val="0"/>
    <w:rPr>
      <w:color w:val="555555"/>
      <w:u w:val="none"/>
    </w:rPr>
  </w:style>
  <w:style w:type="paragraph" w:customStyle="1" w:styleId="12">
    <w:name w:val="列出段落1"/>
    <w:basedOn w:val="1"/>
    <w:qFormat/>
    <w:uiPriority w:val="34"/>
    <w:pPr>
      <w:ind w:firstLine="420" w:firstLineChars="200"/>
    </w:pPr>
  </w:style>
  <w:style w:type="paragraph" w:customStyle="1" w:styleId="13">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 w:type="character" w:customStyle="1" w:styleId="16">
    <w:name w:val="批注框文本 字符"/>
    <w:basedOn w:val="7"/>
    <w:link w:val="2"/>
    <w:semiHidden/>
    <w:qFormat/>
    <w:uiPriority w:val="0"/>
    <w:rPr>
      <w:rFonts w:ascii="Calibri" w:hAnsi="Calibri" w:cs="黑体"/>
      <w:kern w:val="2"/>
      <w:sz w:val="18"/>
      <w:szCs w:val="18"/>
    </w:rPr>
  </w:style>
  <w:style w:type="paragraph" w:styleId="17">
    <w:name w:val="List Paragraph"/>
    <w:basedOn w:val="1"/>
    <w:unhideWhenUsed/>
    <w:qFormat/>
    <w:uiPriority w:val="99"/>
    <w:pPr>
      <w:ind w:firstLine="420" w:firstLineChars="200"/>
    </w:pPr>
  </w:style>
  <w:style w:type="character" w:customStyle="1" w:styleId="18">
    <w:name w:val="hover8"/>
    <w:basedOn w:val="7"/>
    <w:qFormat/>
    <w:uiPriority w:val="0"/>
    <w:rPr>
      <w:color w:val="FFFFFF"/>
      <w:shd w:val="clear" w:color="auto" w:fill="F1430E"/>
    </w:rPr>
  </w:style>
  <w:style w:type="character" w:customStyle="1" w:styleId="19">
    <w:name w:val="on"/>
    <w:basedOn w:val="7"/>
    <w:qFormat/>
    <w:uiPriority w:val="0"/>
    <w:rPr>
      <w:color w:val="FFFFFF"/>
      <w:shd w:val="clear" w:color="auto"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5BC6-C06D-41E5-A047-674EA239E1C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4245</Words>
  <Characters>4650</Characters>
  <Lines>86</Lines>
  <Paragraphs>24</Paragraphs>
  <TotalTime>13</TotalTime>
  <ScaleCrop>false</ScaleCrop>
  <LinksUpToDate>false</LinksUpToDate>
  <CharactersWithSpaces>4668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2022-02-25T04:05:00Z</dcterms:created>
  <dc:creator>null,null,总收发</dc:creator>
  <cp:lastModifiedBy>香</cp:lastModifiedBy>
  <cp:lastPrinted>2022-02-24T01:36:00Z</cp:lastPrinted>
  <dcterms:modified xsi:type="dcterms:W3CDTF">2025-04-25T12:21:03Z</dcterms:modified>
  <dc:title>××年××部门（单位）预算</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AC1C2786352A49E88B92445E2AB6D019_13</vt:lpwstr>
  </property>
  <property fmtid="{D5CDD505-2E9C-101B-9397-08002B2CF9AE}" pid="4" name="KSOTemplateDocerSaveRecord">
    <vt:lpwstr>eyJoZGlkIjoiNzc4MGY5NTAwOTFiOTA2NGMxZTMyMmQ4OGVlNzM5YjkiLCJ1c2VySWQiOiI1ODUyNzkyMzAifQ==</vt:lpwstr>
  </property>
</Properties>
</file>